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39" w:rsidRDefault="00A74AF5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</w:t>
      </w:r>
    </w:p>
    <w:tbl>
      <w:tblPr>
        <w:tblpPr w:leftFromText="180" w:rightFromText="180" w:vertAnchor="text" w:horzAnchor="page" w:tblpX="976" w:tblpY="786"/>
        <w:tblOverlap w:val="never"/>
        <w:tblW w:w="10518" w:type="dxa"/>
        <w:tblLayout w:type="fixed"/>
        <w:tblLook w:val="04A0" w:firstRow="1" w:lastRow="0" w:firstColumn="1" w:lastColumn="0" w:noHBand="0" w:noVBand="1"/>
      </w:tblPr>
      <w:tblGrid>
        <w:gridCol w:w="4165"/>
        <w:gridCol w:w="865"/>
        <w:gridCol w:w="1570"/>
        <w:gridCol w:w="3918"/>
      </w:tblGrid>
      <w:tr w:rsidR="00E83439">
        <w:trPr>
          <w:trHeight w:val="537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题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目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者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</w:tr>
      <w:tr w:rsidR="00E83439">
        <w:trPr>
          <w:trHeight w:val="814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工程总承包招标模式造价控制风险与要点分析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刘尚春</w:t>
            </w:r>
          </w:p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艳　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江苏精诚群业项目咨询管理有限公司</w:t>
            </w:r>
          </w:p>
        </w:tc>
      </w:tr>
      <w:tr w:rsidR="00E83439">
        <w:trPr>
          <w:trHeight w:val="699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BIM</w:t>
            </w:r>
            <w:r>
              <w:rPr>
                <w:rFonts w:ascii="宋体" w:hAnsi="宋体" w:cs="宋体" w:hint="eastAsia"/>
                <w:kern w:val="0"/>
                <w:szCs w:val="21"/>
              </w:rPr>
              <w:t>在工程造价管理中的应用研究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顾维扬</w:t>
            </w:r>
          </w:p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邗江区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住房和城乡建设局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江苏嘉加诚工程投资咨询有限公司　</w:t>
            </w:r>
          </w:p>
        </w:tc>
      </w:tr>
      <w:tr w:rsidR="00E83439">
        <w:trPr>
          <w:trHeight w:val="754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月度计量、过程结算在市政工程中的应用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军</w:t>
            </w:r>
          </w:p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李桂兰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E83439">
        <w:trPr>
          <w:trHeight w:val="709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探讨预制装配率对建安成本的影响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徐晨光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E83439">
        <w:trPr>
          <w:trHeight w:val="484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工程总承包与施工总承包造价控制与确定差异分析及思考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100" w:firstLine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王宽顺</w:t>
            </w:r>
          </w:p>
          <w:p w:rsidR="00E83439" w:rsidRDefault="00A74AF5">
            <w:pPr>
              <w:widowControl/>
              <w:ind w:firstLineChars="100" w:firstLine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仲从兵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江苏精诚群业项目咨询管理有限公司</w:t>
            </w:r>
          </w:p>
        </w:tc>
      </w:tr>
      <w:tr w:rsidR="00E83439">
        <w:trPr>
          <w:trHeight w:val="664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利用高科技设备提升市政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工程工程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结算审核时效及精度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100" w:firstLine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王义清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江苏中建业工程项目管理咨询有限公司</w:t>
            </w:r>
          </w:p>
        </w:tc>
      </w:tr>
      <w:tr w:rsidR="00E83439">
        <w:trPr>
          <w:trHeight w:val="769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ind w:left="1050" w:hangingChars="500" w:hanging="10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建设工程合同纠纷中司法鉴定的适用探讨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秦成明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江苏星宇工程咨询管理有限公司</w:t>
            </w:r>
          </w:p>
        </w:tc>
      </w:tr>
      <w:tr w:rsidR="00E83439">
        <w:trPr>
          <w:trHeight w:val="574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 w:rsidP="00A74AF5">
            <w:pPr>
              <w:widowControl/>
              <w:ind w:left="1050" w:hangingChars="500" w:hanging="10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倡导员工多角色融合，助力企业高质量发展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裴华山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江苏</w:t>
            </w:r>
            <w:proofErr w:type="gramStart"/>
            <w:r>
              <w:rPr>
                <w:rFonts w:hint="eastAsia"/>
              </w:rPr>
              <w:t>苏</w:t>
            </w:r>
            <w:proofErr w:type="gramEnd"/>
            <w:r>
              <w:rPr>
                <w:rFonts w:hint="eastAsia"/>
              </w:rPr>
              <w:t>中兴工程造价咨询有限公司</w:t>
            </w:r>
          </w:p>
        </w:tc>
      </w:tr>
      <w:tr w:rsidR="00E83439">
        <w:trPr>
          <w:trHeight w:val="739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浅谈造价咨询企业发展管理模式与创新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刘欣书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江苏唯诚建设咨询有限公司</w:t>
            </w:r>
          </w:p>
        </w:tc>
      </w:tr>
      <w:tr w:rsidR="00E83439">
        <w:trPr>
          <w:trHeight w:val="694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有关建设工程施工合同中经济风险问题的探讨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羊晶辉</w:t>
            </w:r>
            <w:proofErr w:type="gram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扬州筑苑工程招标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</w:tr>
      <w:tr w:rsidR="00E83439">
        <w:trPr>
          <w:trHeight w:val="559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浅谈工程造价咨询单位对造价咨询人员的职业管理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徐冬青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江苏汇诚投资咨询管理有限公司</w:t>
            </w:r>
          </w:p>
        </w:tc>
      </w:tr>
      <w:tr w:rsidR="00E83439">
        <w:trPr>
          <w:trHeight w:val="679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施工企业的建设工程造价管理探讨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扬州华鼎投资咨询有限公司</w:t>
            </w:r>
          </w:p>
        </w:tc>
      </w:tr>
      <w:tr w:rsidR="00E83439">
        <w:trPr>
          <w:trHeight w:val="769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浅析现场勘察对工程造价控制的影响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朱马俊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ind w:firstLineChars="100" w:firstLine="194"/>
              <w:rPr>
                <w:rFonts w:ascii="宋体" w:hAnsi="宋体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江苏宏信工程咨询有限公司扬州市分公司</w:t>
            </w:r>
          </w:p>
        </w:tc>
      </w:tr>
      <w:tr w:rsidR="00E83439">
        <w:trPr>
          <w:trHeight w:val="754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EPC</w:t>
            </w:r>
            <w:r>
              <w:rPr>
                <w:rFonts w:ascii="宋体" w:hAnsi="宋体" w:cs="宋体" w:hint="eastAsia"/>
                <w:kern w:val="0"/>
                <w:szCs w:val="21"/>
              </w:rPr>
              <w:t>总承包项目建设单位风险管理要点分析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季龙康　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江苏嘉加诚工程投资咨询有限公司</w:t>
            </w:r>
          </w:p>
        </w:tc>
      </w:tr>
      <w:tr w:rsidR="00E83439">
        <w:trPr>
          <w:trHeight w:val="764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浅谈跟踪审计在工程施工中对设计变更的作用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周文权</w:t>
            </w:r>
          </w:p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周道清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ind w:firstLineChars="300"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E83439">
        <w:trPr>
          <w:trHeight w:val="709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 w:rsidP="00A74AF5">
            <w:pPr>
              <w:widowControl/>
              <w:ind w:left="630" w:hangingChars="300" w:hanging="63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签证在结算审核中的应用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远　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ind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扬州华鼎投资咨询有限公司</w:t>
            </w:r>
          </w:p>
        </w:tc>
      </w:tr>
      <w:tr w:rsidR="00E83439">
        <w:trPr>
          <w:trHeight w:val="709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浅谈</w:t>
            </w:r>
            <w:r>
              <w:rPr>
                <w:rFonts w:ascii="宋体" w:hAnsi="宋体" w:cs="宋体" w:hint="eastAsia"/>
                <w:kern w:val="0"/>
                <w:szCs w:val="21"/>
              </w:rPr>
              <w:t>EPC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项目造价咨询人员的作用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旸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ind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江苏苏维工程管理有限公司</w:t>
            </w:r>
          </w:p>
        </w:tc>
      </w:tr>
      <w:tr w:rsidR="00E83439">
        <w:trPr>
          <w:trHeight w:val="799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 w:rsidP="00A74AF5">
            <w:pPr>
              <w:widowControl/>
              <w:ind w:left="630" w:hangingChars="300" w:hanging="63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工程造价咨询企业的核心竞争力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董泽伟</w:t>
            </w:r>
          </w:p>
          <w:p w:rsidR="00E83439" w:rsidRDefault="00A74AF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陈静云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ind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</w:tbl>
    <w:p w:rsidR="00E83439" w:rsidRDefault="00A74AF5">
      <w:pPr>
        <w:widowControl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年度扬州市第十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届工程造价优秀论文获奖名单</w:t>
      </w:r>
    </w:p>
    <w:p w:rsidR="00E83439" w:rsidRDefault="00E83439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E83439" w:rsidRDefault="00E83439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E83439" w:rsidRDefault="00A74AF5">
      <w:pPr>
        <w:widowControl/>
        <w:spacing w:line="54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</w:t>
      </w:r>
    </w:p>
    <w:p w:rsidR="00E83439" w:rsidRDefault="00A74AF5">
      <w:pPr>
        <w:widowControl/>
        <w:spacing w:line="540" w:lineRule="exact"/>
        <w:ind w:firstLineChars="400" w:firstLine="12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年度扬州市第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十一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届工程造价典型案例获奖名单</w:t>
      </w:r>
    </w:p>
    <w:tbl>
      <w:tblPr>
        <w:tblpPr w:leftFromText="180" w:rightFromText="180" w:vertAnchor="text" w:horzAnchor="page" w:tblpX="1027" w:tblpY="546"/>
        <w:tblOverlap w:val="never"/>
        <w:tblW w:w="10465" w:type="dxa"/>
        <w:tblLook w:val="04A0" w:firstRow="1" w:lastRow="0" w:firstColumn="1" w:lastColumn="0" w:noHBand="0" w:noVBand="1"/>
      </w:tblPr>
      <w:tblGrid>
        <w:gridCol w:w="3632"/>
        <w:gridCol w:w="939"/>
        <w:gridCol w:w="1464"/>
        <w:gridCol w:w="4430"/>
      </w:tblGrid>
      <w:tr w:rsidR="00E83439">
        <w:trPr>
          <w:trHeight w:val="624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</w:rPr>
              <w:t>案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</w:rPr>
              <w:t>例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</w:rPr>
              <w:t>题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</w:rPr>
              <w:t>目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作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者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申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报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单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位</w:t>
            </w:r>
          </w:p>
        </w:tc>
      </w:tr>
      <w:tr w:rsidR="00E83439">
        <w:trPr>
          <w:trHeight w:val="79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某厂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工业房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项目施工图设计优化的案例分析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成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钢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信建设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工程造价咨询有限公司</w:t>
            </w:r>
          </w:p>
        </w:tc>
      </w:tr>
      <w:tr w:rsidR="00E83439">
        <w:trPr>
          <w:trHeight w:val="77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关于某工程实施阶段全过程跟踪审计工作的几点思考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肖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湘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8"/>
                <w:kern w:val="0"/>
                <w:szCs w:val="21"/>
              </w:rPr>
              <w:t>江苏宏信工程咨询有限公司扬州市分公司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83439">
        <w:trPr>
          <w:trHeight w:val="79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某供水工程结算审核的案例分析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朱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淼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江苏汇诚投资咨询管理有限公司</w:t>
            </w:r>
          </w:p>
        </w:tc>
      </w:tr>
      <w:tr w:rsidR="00E83439">
        <w:trPr>
          <w:trHeight w:val="79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扬州某河道整治工程造价控制案例分析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张良友　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江苏中建业工程项目管理咨询有限公司</w:t>
            </w:r>
          </w:p>
        </w:tc>
      </w:tr>
      <w:tr w:rsidR="00E83439">
        <w:trPr>
          <w:trHeight w:val="79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某政府投资</w:t>
            </w:r>
            <w:proofErr w:type="spell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epc</w:t>
            </w:r>
            <w:proofErr w:type="spell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项目工程结算争议问题案例分析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江苏星宇工程咨询管理有限公司　</w:t>
            </w:r>
          </w:p>
        </w:tc>
      </w:tr>
      <w:tr w:rsidR="00E83439">
        <w:trPr>
          <w:trHeight w:val="79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</w:rPr>
              <w:t>关于装配式叠合板上部后浇板模板支撑费用的探讨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朱金忠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江苏中建业工程项目管理咨询有限公司</w:t>
            </w:r>
          </w:p>
        </w:tc>
      </w:tr>
      <w:tr w:rsidR="00E83439">
        <w:trPr>
          <w:trHeight w:val="79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 w:rsidP="00A74AF5">
            <w:pPr>
              <w:widowControl/>
              <w:ind w:left="1260" w:hangingChars="600" w:hanging="126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某项目工程量清单及招标控制价评审案例分析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李学东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   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江苏省鼎诚建设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工程顾问有限公司</w:t>
            </w:r>
          </w:p>
        </w:tc>
      </w:tr>
      <w:tr w:rsidR="00E83439">
        <w:trPr>
          <w:trHeight w:val="79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 w:rsidP="00A74AF5">
            <w:pPr>
              <w:widowControl/>
              <w:ind w:left="630" w:hangingChars="300" w:hanging="63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施工方案优化对工程成本管理的影响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100" w:firstLine="21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王詹玮</w:t>
            </w:r>
          </w:p>
          <w:p w:rsidR="00E83439" w:rsidRDefault="00A74AF5">
            <w:pPr>
              <w:widowControl/>
              <w:ind w:firstLineChars="100" w:firstLine="21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蒙婉祯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ind w:firstLineChars="400" w:firstLine="84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E83439">
        <w:trPr>
          <w:trHeight w:val="79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 w:rsidP="00A74AF5">
            <w:pPr>
              <w:widowControl/>
              <w:ind w:left="840" w:hangingChars="400" w:hanging="84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新冠肺炎影响下工程的索赔案例分析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100" w:firstLine="21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云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ind w:firstLineChars="400" w:firstLine="84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E83439">
        <w:trPr>
          <w:trHeight w:val="799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ind w:left="1050" w:hangingChars="500" w:hanging="105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市政桥梁工程中工程量清单及控制价编制注意事项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439" w:rsidRDefault="00A74AF5">
            <w:pPr>
              <w:widowControl/>
              <w:ind w:firstLineChars="100" w:firstLine="21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徐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进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39" w:rsidRDefault="00A74AF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苏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中兴工程造价咨询有限公司</w:t>
            </w:r>
          </w:p>
        </w:tc>
      </w:tr>
    </w:tbl>
    <w:p w:rsidR="00E83439" w:rsidRDefault="00E83439">
      <w:pPr>
        <w:tabs>
          <w:tab w:val="left" w:pos="2730"/>
        </w:tabs>
        <w:spacing w:line="600" w:lineRule="exact"/>
        <w:rPr>
          <w:rFonts w:ascii="仿宋_GB2312" w:eastAsia="仿宋_GB2312"/>
          <w:sz w:val="30"/>
          <w:szCs w:val="30"/>
        </w:rPr>
      </w:pPr>
    </w:p>
    <w:p w:rsidR="00E83439" w:rsidRDefault="00E83439">
      <w:pPr>
        <w:tabs>
          <w:tab w:val="left" w:pos="2730"/>
        </w:tabs>
        <w:spacing w:line="600" w:lineRule="exact"/>
        <w:ind w:firstLineChars="250" w:firstLine="750"/>
        <w:jc w:val="right"/>
        <w:rPr>
          <w:rFonts w:ascii="仿宋_GB2312" w:eastAsia="仿宋_GB2312"/>
          <w:sz w:val="30"/>
          <w:szCs w:val="30"/>
        </w:rPr>
      </w:pPr>
    </w:p>
    <w:p w:rsidR="00E83439" w:rsidRDefault="00E83439">
      <w:pPr>
        <w:tabs>
          <w:tab w:val="left" w:pos="2730"/>
        </w:tabs>
        <w:spacing w:line="600" w:lineRule="exact"/>
        <w:ind w:firstLineChars="250" w:firstLine="750"/>
        <w:jc w:val="right"/>
        <w:rPr>
          <w:rFonts w:ascii="仿宋_GB2312" w:eastAsia="仿宋_GB2312"/>
          <w:sz w:val="30"/>
          <w:szCs w:val="30"/>
        </w:rPr>
      </w:pPr>
    </w:p>
    <w:p w:rsidR="00E83439" w:rsidRDefault="00A74AF5">
      <w:pPr>
        <w:tabs>
          <w:tab w:val="left" w:pos="2730"/>
        </w:tabs>
        <w:spacing w:line="600" w:lineRule="exact"/>
        <w:ind w:firstLineChars="250" w:firstLine="75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ab/>
      </w:r>
    </w:p>
    <w:p w:rsidR="00E83439" w:rsidRDefault="00E83439">
      <w:pPr>
        <w:widowControl/>
        <w:tabs>
          <w:tab w:val="left" w:pos="4885"/>
        </w:tabs>
        <w:spacing w:line="6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E83439" w:rsidRDefault="00E83439">
      <w:pPr>
        <w:widowControl/>
        <w:tabs>
          <w:tab w:val="left" w:pos="4885"/>
        </w:tabs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E83439" w:rsidRDefault="00E83439">
      <w:pPr>
        <w:widowControl/>
        <w:spacing w:line="600" w:lineRule="exact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sectPr w:rsidR="00E83439">
      <w:pgSz w:w="11906" w:h="16838"/>
      <w:pgMar w:top="567" w:right="1134" w:bottom="567" w:left="124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D0AB0"/>
    <w:rsid w:val="0096499B"/>
    <w:rsid w:val="00A74AF5"/>
    <w:rsid w:val="00E83439"/>
    <w:rsid w:val="028D161A"/>
    <w:rsid w:val="03E56B4D"/>
    <w:rsid w:val="055A29F2"/>
    <w:rsid w:val="089C0966"/>
    <w:rsid w:val="08B30B3A"/>
    <w:rsid w:val="09F7395E"/>
    <w:rsid w:val="0DB3305B"/>
    <w:rsid w:val="11435D81"/>
    <w:rsid w:val="16447ABD"/>
    <w:rsid w:val="17D33C6D"/>
    <w:rsid w:val="17D37FCF"/>
    <w:rsid w:val="19A0713E"/>
    <w:rsid w:val="1AD32FB1"/>
    <w:rsid w:val="1AE20A82"/>
    <w:rsid w:val="1F3B2EF3"/>
    <w:rsid w:val="2259081A"/>
    <w:rsid w:val="281128F2"/>
    <w:rsid w:val="31F55D49"/>
    <w:rsid w:val="33854C04"/>
    <w:rsid w:val="3A4104B4"/>
    <w:rsid w:val="3C4E3247"/>
    <w:rsid w:val="3D8D6ABF"/>
    <w:rsid w:val="42B878F6"/>
    <w:rsid w:val="43990788"/>
    <w:rsid w:val="44040A89"/>
    <w:rsid w:val="45370F03"/>
    <w:rsid w:val="47A13328"/>
    <w:rsid w:val="4ACA5157"/>
    <w:rsid w:val="50B60F5C"/>
    <w:rsid w:val="538D0AB0"/>
    <w:rsid w:val="57CF02C7"/>
    <w:rsid w:val="580B6981"/>
    <w:rsid w:val="59EB24A0"/>
    <w:rsid w:val="5A4D4E2D"/>
    <w:rsid w:val="62EA2197"/>
    <w:rsid w:val="63637E72"/>
    <w:rsid w:val="662045E4"/>
    <w:rsid w:val="68A7043E"/>
    <w:rsid w:val="6B847224"/>
    <w:rsid w:val="6BA16888"/>
    <w:rsid w:val="6BA711AF"/>
    <w:rsid w:val="6CA37F25"/>
    <w:rsid w:val="6F36279B"/>
    <w:rsid w:val="72494A2F"/>
    <w:rsid w:val="7E80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张聪聪</dc:creator>
  <cp:lastModifiedBy>user</cp:lastModifiedBy>
  <cp:revision>2</cp:revision>
  <cp:lastPrinted>2020-12-22T07:38:00Z</cp:lastPrinted>
  <dcterms:created xsi:type="dcterms:W3CDTF">2019-12-17T06:26:00Z</dcterms:created>
  <dcterms:modified xsi:type="dcterms:W3CDTF">2020-12-22T08:32:00Z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